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D" w:rsidRPr="00014169" w:rsidRDefault="0025768D">
      <w:pPr>
        <w:rPr>
          <w:b/>
        </w:rPr>
      </w:pPr>
      <w:r w:rsidRPr="00014169">
        <w:rPr>
          <w:b/>
        </w:rPr>
        <w:t xml:space="preserve">INTRODUCCIÓN </w:t>
      </w:r>
    </w:p>
    <w:p w:rsidR="0025768D" w:rsidRDefault="0025768D" w:rsidP="0025768D">
      <w:pPr>
        <w:jc w:val="both"/>
      </w:pPr>
      <w:r>
        <w:t xml:space="preserve">La sociedad oaxaqueña demanda resultados tangibles que sustenten el ejercicio de los recursos públicos, lo que obliga al Gobierno Municipal a administrarlos bajo los principios constitucionales de austeridad, planeación, eficiencia, eficacia, economía, transparencia y honradez, con el </w:t>
      </w:r>
      <w:proofErr w:type="spellStart"/>
      <w:r>
        <w:t>fn</w:t>
      </w:r>
      <w:proofErr w:type="spellEnd"/>
      <w:r>
        <w:t xml:space="preserve"> de satisfacer los objetivos a los que estén destinados.</w:t>
      </w:r>
    </w:p>
    <w:p w:rsidR="0025768D" w:rsidRDefault="0025768D" w:rsidP="0025768D">
      <w:pPr>
        <w:jc w:val="both"/>
      </w:pPr>
      <w:r>
        <w:t>La rendición de cuentas exige un desempeño honesto, eficiente y responsable de los servidores públicos donde los valores éticos deben regir la gestión gubernamental para lograr la mayor transparencia en el uso de los recursos públicos y contrarrestar las prácticas de corrupción.</w:t>
      </w:r>
    </w:p>
    <w:p w:rsidR="00B617A0" w:rsidRDefault="0025768D" w:rsidP="0025768D">
      <w:pPr>
        <w:jc w:val="both"/>
      </w:pPr>
      <w:r>
        <w:t>El presupuesto público es una de las herramientas más importantes de la gestión gubernamental; su elaboración, programación y ejecución tiene el propósito de brindar más y mejores oportunidades para la ciudadanía. La formulación presupuestaria debe ofrecer certidumbre respecto de las fuentes de financiamiento y al importe de recursos a los que se tendrá acceso para la definición, selección y priorización de proyectos, congruentes con prioridades establecidas en el Plan Municipal de Desarrollo. Por lo anterior, es fundamental planear, programar, presupuestar y evaluar las acciones a través de instrumentos de medición adecuados.</w:t>
      </w:r>
    </w:p>
    <w:p w:rsidR="0025768D" w:rsidRDefault="0025768D" w:rsidP="0025768D">
      <w:pPr>
        <w:jc w:val="both"/>
      </w:pPr>
      <w:r>
        <w:t>Marco Jurídico</w:t>
      </w:r>
    </w:p>
    <w:p w:rsidR="0025768D" w:rsidRDefault="0025768D" w:rsidP="0025768D">
      <w:pPr>
        <w:jc w:val="both"/>
      </w:pPr>
      <w:r>
        <w:t xml:space="preserve"> Constitución Política de los Estados Unidos Mexicanos</w:t>
      </w:r>
    </w:p>
    <w:p w:rsidR="0025768D" w:rsidRDefault="0025768D" w:rsidP="0025768D">
      <w:pPr>
        <w:jc w:val="both"/>
      </w:pPr>
      <w:r>
        <w:t xml:space="preserve"> Artículo 115.</w:t>
      </w:r>
    </w:p>
    <w:p w:rsidR="0025768D" w:rsidRDefault="0025768D" w:rsidP="0025768D">
      <w:pPr>
        <w:jc w:val="both"/>
      </w:pPr>
      <w:r>
        <w:t xml:space="preserve">Las legislaturas de los Estados aprobarán las leyes de ingresos de los municipios, revisarán y </w:t>
      </w:r>
      <w:proofErr w:type="spellStart"/>
      <w:r>
        <w:t>fscalizarán</w:t>
      </w:r>
      <w:proofErr w:type="spellEnd"/>
      <w:r>
        <w:t xml:space="preserve"> sus cuentas públicas. Los presupuestos de egresos serán aprobados por los ayuntamientos con base en sus ingresos disponibles, y deberán incluir en los mismos, los tabuladores desglosados de las remuneraciones que perciban los servidores públicos municipales, sujetándose a lo dispuesto en el artículo 127 de esta Constitución. Los recursos que integran la hacienda municipal serán ejercidos en forma directa por los ayuntamientos, o bien, por quien ellos autoricen, conforme a la ley;</w:t>
      </w:r>
    </w:p>
    <w:p w:rsidR="0025768D" w:rsidRDefault="0025768D" w:rsidP="0025768D">
      <w:pPr>
        <w:jc w:val="both"/>
      </w:pPr>
      <w:r>
        <w:t>Artículo 126.</w:t>
      </w:r>
    </w:p>
    <w:p w:rsidR="0025768D" w:rsidRDefault="0025768D" w:rsidP="0025768D">
      <w:pPr>
        <w:jc w:val="both"/>
      </w:pPr>
      <w:r>
        <w:t>No podrá hacerse pago alguno que no esté comprendido en el Presupuesto o determinado por la ley posterior.</w:t>
      </w:r>
    </w:p>
    <w:p w:rsidR="0025768D" w:rsidRDefault="0025768D" w:rsidP="0025768D">
      <w:pPr>
        <w:jc w:val="both"/>
      </w:pPr>
      <w:r>
        <w:t>Artículo 127.</w:t>
      </w:r>
    </w:p>
    <w:p w:rsidR="0025768D" w:rsidRDefault="0025768D" w:rsidP="0025768D">
      <w:pPr>
        <w:jc w:val="both"/>
      </w:pPr>
      <w:r>
        <w:t xml:space="preserve">Los servidores públicos de la Federación, de las entidades federativas, de los Municipios y de las demarcaciones territoriales de la Ciudad de México, de sus entidades y dependencias, así como de sus administraciones paraestatales y paramunicipales, </w:t>
      </w:r>
      <w:r w:rsidR="00014169">
        <w:t>fideicomisos</w:t>
      </w:r>
      <w:r>
        <w:t xml:space="preserve"> públicos, instituciones y organismos autónomos, y cualquier otro ente público, recibirán una remuneración adecuada e irrenunciable por el desempeño de su función, empleo, cargo o comisión, que deberá ser proporcional a sus responsabilidades. II. Ningún servidor público podrá recibir remuneración, en términos de la fracción anterior, por el desempeño de su función, empleo, cargo o comisión, mayor a la establecida para el Presidente de la República en el presupuesto correspondiente.</w:t>
      </w:r>
    </w:p>
    <w:p w:rsidR="0025768D" w:rsidRDefault="0025768D" w:rsidP="0025768D">
      <w:pPr>
        <w:jc w:val="both"/>
      </w:pPr>
      <w:r>
        <w:t>Artículo 134.</w:t>
      </w:r>
    </w:p>
    <w:p w:rsidR="0025768D" w:rsidRDefault="0025768D" w:rsidP="0025768D">
      <w:pPr>
        <w:jc w:val="both"/>
      </w:pPr>
      <w:r>
        <w:lastRenderedPageBreak/>
        <w:t xml:space="preserve">Los recursos económicos de que dispongan la Federación, las entidades federativas, los Municipios y las demarcaciones territoriales de la Ciudad de México, se administrarán con </w:t>
      </w:r>
      <w:proofErr w:type="spellStart"/>
      <w:r>
        <w:t>efciencia</w:t>
      </w:r>
      <w:proofErr w:type="spellEnd"/>
      <w:r>
        <w:t xml:space="preserve">, </w:t>
      </w:r>
      <w:proofErr w:type="spellStart"/>
      <w:r>
        <w:t>efcacia</w:t>
      </w:r>
      <w:proofErr w:type="spellEnd"/>
      <w:r>
        <w:t>, economía, transparencia y honradez para satisfacer los objetivos a los que estén destinados.</w:t>
      </w:r>
    </w:p>
    <w:p w:rsidR="0025768D" w:rsidRDefault="0025768D" w:rsidP="0025768D">
      <w:pPr>
        <w:jc w:val="both"/>
      </w:pPr>
      <w:r>
        <w:t>Ley General de Contabilidad Gubernamental</w:t>
      </w:r>
    </w:p>
    <w:p w:rsidR="0025768D" w:rsidRDefault="0025768D" w:rsidP="0025768D">
      <w:pPr>
        <w:jc w:val="both"/>
      </w:pPr>
      <w:r>
        <w:t>Artículo 60.</w:t>
      </w:r>
    </w:p>
    <w:p w:rsidR="0025768D" w:rsidRDefault="0025768D" w:rsidP="0025768D">
      <w:pPr>
        <w:jc w:val="both"/>
      </w:pPr>
      <w:r>
        <w:t xml:space="preserve">Las disposiciones aplicables al proceso de integración de… los presupuestos de egresos y demás documentos que deban publicarse en los medios </w:t>
      </w:r>
      <w:proofErr w:type="spellStart"/>
      <w:r>
        <w:t>ofciales</w:t>
      </w:r>
      <w:proofErr w:type="spellEnd"/>
      <w:r>
        <w:t xml:space="preserve"> de difusión, se incluirán en las respectivas páginas de Internet.</w:t>
      </w:r>
    </w:p>
    <w:p w:rsidR="0025768D" w:rsidRDefault="0025768D" w:rsidP="0025768D">
      <w:pPr>
        <w:jc w:val="both"/>
      </w:pPr>
      <w:r>
        <w:t>Artículo 61.</w:t>
      </w:r>
    </w:p>
    <w:p w:rsidR="0025768D" w:rsidRDefault="0025768D" w:rsidP="0025768D">
      <w:pPr>
        <w:jc w:val="both"/>
      </w:pPr>
      <w:r>
        <w:t xml:space="preserve">Además de la información prevista en las respectivas leyes en materia </w:t>
      </w:r>
      <w:proofErr w:type="spellStart"/>
      <w:r>
        <w:t>fnanciera</w:t>
      </w:r>
      <w:proofErr w:type="spellEnd"/>
      <w:r>
        <w:t xml:space="preserve">, </w:t>
      </w:r>
      <w:proofErr w:type="spellStart"/>
      <w:r>
        <w:t>fscal</w:t>
      </w:r>
      <w:proofErr w:type="spellEnd"/>
      <w:r>
        <w:t xml:space="preserve"> y presupuestaria y la información señalada en los artículos 46 a 48 de esta Ley, la Federación, las </w:t>
      </w:r>
      <w:proofErr w:type="gramStart"/>
      <w:r>
        <w:t>entidades federativa</w:t>
      </w:r>
      <w:proofErr w:type="gramEnd"/>
      <w:r>
        <w:t xml:space="preserve">, los Municipios, y en su caso, las demarcaciones territoriales del Distrito Federal, incluirán en sus respectivas leyes de ingresos y presupuestos de egresos u ordenamientos equivalentes, apartados </w:t>
      </w:r>
      <w:proofErr w:type="spellStart"/>
      <w:r>
        <w:t>específcos</w:t>
      </w:r>
      <w:proofErr w:type="spellEnd"/>
      <w:r>
        <w:t xml:space="preserve"> con la información siguiente:</w:t>
      </w:r>
    </w:p>
    <w:p w:rsidR="0025768D" w:rsidRDefault="0025768D" w:rsidP="0025768D">
      <w:pPr>
        <w:jc w:val="center"/>
      </w:pPr>
      <w:r>
        <w:t>II. Presupuestos de Egresos:</w:t>
      </w:r>
    </w:p>
    <w:p w:rsidR="0025768D" w:rsidRDefault="0025768D" w:rsidP="0025768D">
      <w:pPr>
        <w:jc w:val="both"/>
      </w:pPr>
      <w:r>
        <w:t xml:space="preserve"> a) Las prioridades de gasto, los programas y proyectos, así como la distribución del presupuesto, detallando el gasto en servicios personales, incluyendo el analítico de plazas y desglosando todas las remuneraciones; las contrataciones de servicios por honorarios y, en su caso, previsiones para personal eventual; pensiones; gastos de operación, incluyendo gasto en comunicación social; gasto de inversión; así como gasto correspondiente a compromisos plurianuales, proyectos de asociaciones público privadas y proyectos de prestación de servicios, entre otros;</w:t>
      </w:r>
    </w:p>
    <w:p w:rsidR="0025768D" w:rsidRDefault="0025768D" w:rsidP="0025768D">
      <w:pPr>
        <w:jc w:val="both"/>
      </w:pPr>
      <w:r>
        <w:t xml:space="preserve">b) El listado de </w:t>
      </w:r>
      <w:proofErr w:type="gramStart"/>
      <w:r>
        <w:t>programas</w:t>
      </w:r>
      <w:proofErr w:type="gramEnd"/>
      <w:r>
        <w:t xml:space="preserve"> así como sus indicadores estratégicos y de gestión aprobados, y</w:t>
      </w:r>
    </w:p>
    <w:p w:rsidR="0025768D" w:rsidRDefault="0025768D" w:rsidP="0025768D">
      <w:pPr>
        <w:jc w:val="both"/>
      </w:pPr>
      <w:r>
        <w:t xml:space="preserve">c) La aplicación de los recursos conforme a las </w:t>
      </w:r>
      <w:proofErr w:type="spellStart"/>
      <w:r>
        <w:t>clasifcaciones</w:t>
      </w:r>
      <w:proofErr w:type="spellEnd"/>
      <w:r>
        <w:t xml:space="preserve"> administrativa, funcional, programática, económica y, en su caso, </w:t>
      </w:r>
      <w:proofErr w:type="spellStart"/>
      <w:r>
        <w:t>geográfca</w:t>
      </w:r>
      <w:proofErr w:type="spellEnd"/>
      <w:r>
        <w:t xml:space="preserve"> y sus interrelaciones que faciliten el análisis para valorar la </w:t>
      </w:r>
      <w:proofErr w:type="spellStart"/>
      <w:r>
        <w:t>efciencia</w:t>
      </w:r>
      <w:proofErr w:type="spellEnd"/>
      <w:r>
        <w:t xml:space="preserve"> y </w:t>
      </w:r>
      <w:proofErr w:type="spellStart"/>
      <w:r>
        <w:t>efcacia</w:t>
      </w:r>
      <w:proofErr w:type="spellEnd"/>
      <w:r>
        <w:t xml:space="preserve"> en el uso y destino de los recursos y sus resultados.</w:t>
      </w:r>
    </w:p>
    <w:p w:rsidR="0025768D" w:rsidRDefault="0025768D" w:rsidP="0025768D">
      <w:pPr>
        <w:jc w:val="both"/>
      </w:pPr>
      <w:r>
        <w:t xml:space="preserve">En el proceso de integración de la información </w:t>
      </w:r>
      <w:proofErr w:type="spellStart"/>
      <w:r>
        <w:t>fnanciera</w:t>
      </w:r>
      <w:proofErr w:type="spellEnd"/>
      <w:r>
        <w:t xml:space="preserve"> para la elaboración de los presupuestos se deberán incorporar los resultados que deriven de los procesos de implantación y operación del presupuesto basado en resultados y del sistema de evaluación del desempeño, establecidos en términos del artículo 134 de la Constitución Política de los Estados Unidos Mexicanos.</w:t>
      </w:r>
    </w:p>
    <w:p w:rsidR="0025768D" w:rsidRDefault="0025768D" w:rsidP="0025768D">
      <w:pPr>
        <w:jc w:val="both"/>
      </w:pPr>
      <w:r>
        <w:t>Artículo 63.</w:t>
      </w:r>
    </w:p>
    <w:p w:rsidR="0025768D" w:rsidRDefault="0025768D" w:rsidP="0025768D">
      <w:pPr>
        <w:jc w:val="both"/>
      </w:pPr>
      <w:r>
        <w:t xml:space="preserve"> La Iniciativa de Ley de Ingresos, el Proyecto de Presupuesto de Egresos y demás documentos de los entes públicos que dispongan los ordenamientos legales, deberán publicarse en las respectivas páginas de Internet.</w:t>
      </w:r>
    </w:p>
    <w:p w:rsidR="0025768D" w:rsidRDefault="0025768D" w:rsidP="0025768D">
      <w:pPr>
        <w:jc w:val="both"/>
      </w:pPr>
      <w:r>
        <w:t>Artículo 66.</w:t>
      </w:r>
    </w:p>
    <w:p w:rsidR="0025768D" w:rsidRDefault="0025768D" w:rsidP="0025768D">
      <w:pPr>
        <w:jc w:val="both"/>
      </w:pPr>
      <w:r>
        <w:t xml:space="preserve">La Secretaría de Hacienda publicará en el Diario </w:t>
      </w:r>
      <w:proofErr w:type="spellStart"/>
      <w:r>
        <w:t>Ofcial</w:t>
      </w:r>
      <w:proofErr w:type="spellEnd"/>
      <w:r>
        <w:t xml:space="preserve"> de la Federación los calendarios de ingresos y de presupuesto de egresos en los términos de la Ley Federal de Presupuesto y Responsabilidad Hacendaria. Las secretarías de </w:t>
      </w:r>
      <w:proofErr w:type="spellStart"/>
      <w:r>
        <w:t>fnanzas</w:t>
      </w:r>
      <w:proofErr w:type="spellEnd"/>
      <w:r>
        <w:t xml:space="preserve"> o sus equivalentes de las entidades federativas, las tesorerías </w:t>
      </w:r>
      <w:r>
        <w:lastRenderedPageBreak/>
        <w:t xml:space="preserve">de los Municipios deberán publicar en Internet, los calendarios de </w:t>
      </w:r>
      <w:proofErr w:type="gramStart"/>
      <w:r>
        <w:t>ingresos</w:t>
      </w:r>
      <w:proofErr w:type="gramEnd"/>
      <w:r>
        <w:t xml:space="preserve"> así como los calendarios de Presupuesto de Egresos con base mensual, en los formatos y plazos que determine el consejo. </w:t>
      </w:r>
    </w:p>
    <w:p w:rsidR="0025768D" w:rsidRDefault="0025768D" w:rsidP="0025768D">
      <w:pPr>
        <w:jc w:val="both"/>
      </w:pPr>
      <w:r>
        <w:t>Ley de Disciplina Financiera de las Entidades Federativas y los Municipios</w:t>
      </w:r>
    </w:p>
    <w:p w:rsidR="0025768D" w:rsidRDefault="0025768D" w:rsidP="0025768D">
      <w:pPr>
        <w:jc w:val="both"/>
      </w:pPr>
      <w:r>
        <w:t xml:space="preserve"> Artículo 18.</w:t>
      </w:r>
    </w:p>
    <w:p w:rsidR="0025768D" w:rsidRDefault="0025768D" w:rsidP="0025768D">
      <w:pPr>
        <w:jc w:val="both"/>
      </w:pPr>
      <w:r>
        <w:t xml:space="preserve"> Las iniciativas de las Leyes de Ingresos y los proyectos de Presupuestos de Egresos de los Municipios se deberán elaborar conforme a lo establecido en la legislación local aplicable, en la Ley General de Contabilidad Gubernamental y las normas que emita el Consejo Nacional de Armonización Contable, con base en objetivos, parámetros </w:t>
      </w:r>
      <w:proofErr w:type="spellStart"/>
      <w:r>
        <w:t>cuantifcables</w:t>
      </w:r>
      <w:proofErr w:type="spellEnd"/>
      <w:r>
        <w:t xml:space="preserve"> e indicadores del desempeño; deberán ser congruentes con los planes estatales y municipales de desarrollo y los programas derivados de los mismos; e incluirán cuando menos objetivos anuales, estrategias y metas.</w:t>
      </w:r>
    </w:p>
    <w:p w:rsidR="0025768D" w:rsidRDefault="0025768D" w:rsidP="0025768D">
      <w:pPr>
        <w:jc w:val="both"/>
      </w:pPr>
      <w:r>
        <w:t>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Federación, así como aquellas transferencias de la Entidad Federativa correspondiente.</w:t>
      </w:r>
    </w:p>
    <w:p w:rsidR="004D51AE" w:rsidRDefault="0025768D" w:rsidP="0025768D">
      <w:pPr>
        <w:jc w:val="both"/>
      </w:pPr>
      <w:r>
        <w:t>Los Municipios, en adición a lo previsto en los párrafos anteriores, deberán incluir en las iniciativas de las Leyes de Ingresos y los proyec</w:t>
      </w:r>
      <w:r w:rsidR="004D51AE">
        <w:t>tos de Presupuestos de Egresos:</w:t>
      </w:r>
    </w:p>
    <w:p w:rsidR="004D51AE" w:rsidRDefault="004D51AE" w:rsidP="004D51AE">
      <w:pPr>
        <w:jc w:val="both"/>
      </w:pPr>
      <w:r>
        <w:t xml:space="preserve">I. </w:t>
      </w:r>
      <w:r w:rsidR="0025768D">
        <w:t xml:space="preserve">Proyecciones de </w:t>
      </w:r>
      <w:proofErr w:type="spellStart"/>
      <w:r w:rsidR="0025768D">
        <w:t>fnanzas</w:t>
      </w:r>
      <w:proofErr w:type="spellEnd"/>
      <w:r w:rsidR="0025768D">
        <w:t xml:space="preserve"> públicas, considerando las premisas empleadas en los Criterios Generales de Política Económica. Las proyecciones se realizarán con base en los formatos que emita el Consejo Nacional de Armonización Contable y abarcarán un periodo de tres años en adición al ejercicio </w:t>
      </w:r>
      <w:proofErr w:type="spellStart"/>
      <w:r w:rsidR="0025768D">
        <w:t>fscal</w:t>
      </w:r>
      <w:proofErr w:type="spellEnd"/>
      <w:r w:rsidR="0025768D">
        <w:t xml:space="preserve"> en cuestión, las que se revisarán y, en su caso, se adecuarán anualmente </w:t>
      </w:r>
      <w:r>
        <w:t>en los ejercicios subsecuentes;</w:t>
      </w:r>
    </w:p>
    <w:p w:rsidR="004D51AE" w:rsidRDefault="0025768D" w:rsidP="004D51AE">
      <w:r>
        <w:t xml:space="preserve">II. Descripción de los riesgos relevantes para las </w:t>
      </w:r>
      <w:proofErr w:type="spellStart"/>
      <w:r>
        <w:t>fnanzas</w:t>
      </w:r>
      <w:proofErr w:type="spellEnd"/>
      <w:r>
        <w:t xml:space="preserve"> públicas, incluyendo los montos de Deuda Contingente, acompañados de propuest</w:t>
      </w:r>
      <w:r w:rsidR="004D51AE">
        <w:t>as de acción para enfrentarlos;</w:t>
      </w:r>
    </w:p>
    <w:p w:rsidR="004D51AE" w:rsidRDefault="0025768D" w:rsidP="004D51AE">
      <w:r>
        <w:t xml:space="preserve">III. Los resultados de las </w:t>
      </w:r>
      <w:proofErr w:type="spellStart"/>
      <w:r>
        <w:t>fnanzas</w:t>
      </w:r>
      <w:proofErr w:type="spellEnd"/>
      <w:r>
        <w:t xml:space="preserve"> públicas que abarquen un periodo de los tres últimos años y el ejercicio </w:t>
      </w:r>
      <w:proofErr w:type="spellStart"/>
      <w:r>
        <w:t>fscal</w:t>
      </w:r>
      <w:proofErr w:type="spellEnd"/>
      <w:r>
        <w:t xml:space="preserve"> en cuestión, de acuerdo con los formatos que emita el Consejo Nacional de Armonización Contable par</w:t>
      </w:r>
      <w:r w:rsidR="004D51AE">
        <w:t xml:space="preserve">a este </w:t>
      </w:r>
      <w:proofErr w:type="spellStart"/>
      <w:r w:rsidR="004D51AE">
        <w:t>fn</w:t>
      </w:r>
      <w:proofErr w:type="spellEnd"/>
      <w:r w:rsidR="004D51AE">
        <w:t>, y</w:t>
      </w:r>
    </w:p>
    <w:p w:rsidR="004D51AE" w:rsidRDefault="0025768D" w:rsidP="004D51AE">
      <w:r>
        <w:t xml:space="preserve">IV. Un estudio actuarial de las pensiones de sus trabajadores, el cual como mínimo deberá actualizarse cada cuatro años. El estudio deberá incluir la población </w:t>
      </w:r>
      <w:proofErr w:type="spellStart"/>
      <w:r>
        <w:t>afliada</w:t>
      </w:r>
      <w:proofErr w:type="spellEnd"/>
      <w:r>
        <w:t xml:space="preserve">, la edad promedio, las características de las prestaciones otorgadas por la ley aplicable, el monto de reservas de pensiones, así como el periodo de </w:t>
      </w:r>
      <w:proofErr w:type="spellStart"/>
      <w:r>
        <w:t>sufciencia</w:t>
      </w:r>
      <w:proofErr w:type="spellEnd"/>
      <w:r>
        <w:t xml:space="preserve"> y el balan</w:t>
      </w:r>
      <w:r w:rsidR="004D51AE">
        <w:t>ce actuarial en valor presente.</w:t>
      </w:r>
    </w:p>
    <w:p w:rsidR="004D51AE" w:rsidRDefault="0025768D" w:rsidP="004D51AE">
      <w:r>
        <w:t xml:space="preserve">Las proyecciones y resultados a que se </w:t>
      </w:r>
      <w:proofErr w:type="spellStart"/>
      <w:r>
        <w:t>referen</w:t>
      </w:r>
      <w:proofErr w:type="spellEnd"/>
      <w:r>
        <w:t xml:space="preserve"> las fracciones I y III, respectivamente, comprenderán sólo un año para el caso de los Municipios con una población menor a 200,000 habitantes, de acuerdo con el último censo o conteo de población que publique el Instituto Nacio</w:t>
      </w:r>
      <w:r w:rsidR="004D51AE">
        <w:t>nal de Estadística y Geografía.</w:t>
      </w:r>
    </w:p>
    <w:p w:rsidR="004D51AE" w:rsidRDefault="004D51AE" w:rsidP="004D51AE">
      <w:r>
        <w:t>Artículo 19.</w:t>
      </w:r>
    </w:p>
    <w:p w:rsidR="004D51AE" w:rsidRDefault="0025768D" w:rsidP="004D51AE">
      <w:r>
        <w:lastRenderedPageBreak/>
        <w:t xml:space="preserve">El Gasto total propuesto por el Ayuntamiento del Municipio en el proyecto de Presupuesto de Egresos, el aprobado y el que se ejerza en el año </w:t>
      </w:r>
      <w:proofErr w:type="spellStart"/>
      <w:r>
        <w:t>fscal</w:t>
      </w:r>
      <w:proofErr w:type="spellEnd"/>
      <w:r>
        <w:t xml:space="preserve">, deberán contribuir al Balance </w:t>
      </w:r>
      <w:r w:rsidR="004D51AE">
        <w:t>presupuestario sostenible.</w:t>
      </w:r>
    </w:p>
    <w:p w:rsidR="004D51AE" w:rsidRDefault="0025768D" w:rsidP="004D51AE">
      <w:r>
        <w:t xml:space="preserve">El Ayuntamiento del Municipio deberá generar Balances presupuestarios sostenibles. Se considerará que el Balance presupuestario cumple con el principio de sostenibilidad, cuando al </w:t>
      </w:r>
      <w:proofErr w:type="spellStart"/>
      <w:r>
        <w:t>fnal</w:t>
      </w:r>
      <w:proofErr w:type="spellEnd"/>
      <w:r>
        <w:t xml:space="preserve"> del ejercicio </w:t>
      </w:r>
      <w:proofErr w:type="spellStart"/>
      <w:r>
        <w:t>fscal</w:t>
      </w:r>
      <w:proofErr w:type="spellEnd"/>
      <w:r>
        <w:t xml:space="preserve"> y bajo el momento contable devengado, dicho ba</w:t>
      </w:r>
      <w:r w:rsidR="004D51AE">
        <w:t>lance sea mayor o igual a cero.</w:t>
      </w:r>
    </w:p>
    <w:p w:rsidR="004D51AE" w:rsidRDefault="0025768D" w:rsidP="004D51AE">
      <w:r>
        <w:t xml:space="preserve">Artículo 20. Los recursos para cubrir los adeudos del ejercicio </w:t>
      </w:r>
      <w:proofErr w:type="spellStart"/>
      <w:r>
        <w:t>fscal</w:t>
      </w:r>
      <w:proofErr w:type="spellEnd"/>
      <w:r>
        <w:t xml:space="preserve"> anterior, previstos en el proyecto de Presupuesto de Egresos, podrán ser hasta por el 2.5 por ciento de los Ingresos to</w:t>
      </w:r>
      <w:r w:rsidR="004D51AE">
        <w:t>tales del respectivo Municipio.</w:t>
      </w:r>
    </w:p>
    <w:p w:rsidR="004D51AE" w:rsidRDefault="0025768D" w:rsidP="004D51AE">
      <w:r>
        <w:t>Artículo 21. Los Municipios y sus Entes Públicos deberán observar las disposiciones establecidas en los artículos 8, 10, 11, 14, 15 y 17 de esta Ley. Adicionalmente, los Municipios y sus Entes Públicos deberán observar lo previsto</w:t>
      </w:r>
      <w:r w:rsidR="004D51AE">
        <w:t xml:space="preserve"> en el artículo 13 de esta Ley.</w:t>
      </w:r>
    </w:p>
    <w:p w:rsidR="004D51AE" w:rsidRDefault="0025768D" w:rsidP="004D51AE">
      <w:pPr>
        <w:jc w:val="center"/>
      </w:pPr>
      <w:r>
        <w:t>Título Tercero de la D</w:t>
      </w:r>
      <w:r w:rsidR="004D51AE">
        <w:t>euda Pública y las Obligaciones</w:t>
      </w:r>
    </w:p>
    <w:p w:rsidR="004D51AE" w:rsidRDefault="0025768D" w:rsidP="004D51AE">
      <w:r>
        <w:t xml:space="preserve">Artículo 22. Los Entes Públicos no podrán contraer, directa o indirectamente, Financiamientos u Obligaciones con gobiernos de otras naciones, con sociedades o particulares extranjeros, ni cuando deban pagarse en moneda extranjera o fuera del territorio nacional. Asimismo, sólo podrán contraer Obligaciones o Financiamientos cuando se destinen a Inversiones públicas productivas y a </w:t>
      </w:r>
      <w:proofErr w:type="spellStart"/>
      <w:r>
        <w:t>Refnanciamiento</w:t>
      </w:r>
      <w:proofErr w:type="spellEnd"/>
      <w:r>
        <w:t xml:space="preserve"> o Reestructura, incluyendo los gastos y costos relacionados con la contratación de dichas Obligaciones y Financiamientos, así como las reservas que deban constituirse en relación con las mis</w:t>
      </w:r>
      <w:r w:rsidR="004D51AE">
        <w:t>mas.</w:t>
      </w:r>
    </w:p>
    <w:p w:rsidR="004D51AE" w:rsidRDefault="004D51AE" w:rsidP="004D51AE">
      <w:r>
        <w:t>Artículo 30.</w:t>
      </w:r>
    </w:p>
    <w:p w:rsidR="004D51AE" w:rsidRDefault="0025768D" w:rsidP="004D51AE">
      <w:r>
        <w:t>Las Entidades Federativas y los Municipios podrán contratar Obligaciones a corto plazo sin autorización de la Legislatura local, siempre y cuando se cump</w:t>
      </w:r>
      <w:r w:rsidR="004D51AE">
        <w:t>lan las siguientes condiciones:</w:t>
      </w:r>
    </w:p>
    <w:p w:rsidR="004D51AE" w:rsidRDefault="004D51AE" w:rsidP="004D51AE">
      <w:r>
        <w:t xml:space="preserve">I. </w:t>
      </w:r>
      <w:r w:rsidR="0025768D">
        <w:t>En todo momento, el saldo insoluto total del monto principal de estas Obligaciones a corto plazo no exceda del 6 por ciento de los Ingresos totales aprobados en su Ley de Ingresos, sin incluir Financiamiento Neto, de la Entidad Federativa o del Municipio durante el e</w:t>
      </w:r>
      <w:r>
        <w:t xml:space="preserve">jercicio </w:t>
      </w:r>
      <w:proofErr w:type="spellStart"/>
      <w:r>
        <w:t>fscal</w:t>
      </w:r>
      <w:proofErr w:type="spellEnd"/>
      <w:r>
        <w:t xml:space="preserve"> correspondiente;</w:t>
      </w:r>
    </w:p>
    <w:p w:rsidR="004D51AE" w:rsidRDefault="0025768D" w:rsidP="004D51AE">
      <w:r>
        <w:t>II. Las Obligaciones a corto plazo queden totalmente pagadas a más tardar tres meses antes de que concluya el periodo de gobierno de la administración correspondiente, no pudiendo contratar nuevas Obligaciones a corto plazo d</w:t>
      </w:r>
      <w:r w:rsidR="004D51AE">
        <w:t>urante esos últimos tres meses;</w:t>
      </w:r>
    </w:p>
    <w:p w:rsidR="004D51AE" w:rsidRDefault="0025768D" w:rsidP="004D51AE">
      <w:r>
        <w:t>III. Las Obligaciones a corto plazo deberán ser quirografarias, y IV. Ser inscritas en el Registro Público Único. Para dar cumplimiento a la contratación de las Obligaciones a corto plazo bajo mejores condiciones de mercado, se deberá cumplir lo dispuesto en el penúltimo párrafo del artículo 26 de la presente Ley. Las Obligaciones a corto plazo que se contraten quedarán sujetas a los requisitos de información previstos en es</w:t>
      </w:r>
      <w:r w:rsidR="004D51AE">
        <w:t>ta Ley.</w:t>
      </w:r>
    </w:p>
    <w:p w:rsidR="004D51AE" w:rsidRDefault="0025768D" w:rsidP="004D51AE">
      <w:r>
        <w:lastRenderedPageBreak/>
        <w:t xml:space="preserve">Artículo 34. El Ejecutivo Federal, por conducto de la Secretaría, podrá otorgar la garantía del Gobierno Federal a las Obligaciones constitutivas de Deuda Pública de los Estados y los </w:t>
      </w:r>
      <w:r w:rsidR="004D51AE">
        <w:t>Municipios.</w:t>
      </w:r>
    </w:p>
    <w:p w:rsidR="004D51AE" w:rsidRDefault="0025768D" w:rsidP="004D51AE">
      <w:r>
        <w:t>Artículo 49. El Registro Público Único estará a cargo de la Secretaría y tendrá como objeto inscribir y transparentar la totalidad de los Financiamientos y Obligaciones a cargo de los Entes Públicos. Los efectos del Registro Público Único son únicamente declarativos e informativos, por lo que no prejuzgan ni validan los actos jurídicos por los cuales se celebr</w:t>
      </w:r>
      <w:r w:rsidR="004D51AE">
        <w:t>aron las operaciones relativas.</w:t>
      </w:r>
    </w:p>
    <w:p w:rsidR="004D51AE" w:rsidRDefault="0025768D" w:rsidP="004D51AE">
      <w:r>
        <w:t xml:space="preserve">Sexto Transitorio. La fracción I del artículo 10 de la Ley de Disciplina Financiera de las Entidades Federativas y los Municipios entrará en vigor para efectos del Presupuesto de Egresos correspondiente </w:t>
      </w:r>
      <w:r w:rsidR="004D51AE">
        <w:t xml:space="preserve">al ejercicio </w:t>
      </w:r>
      <w:proofErr w:type="spellStart"/>
      <w:r w:rsidR="004D51AE">
        <w:t>fscal</w:t>
      </w:r>
      <w:proofErr w:type="spellEnd"/>
      <w:r w:rsidR="004D51AE">
        <w:t xml:space="preserve"> 2018.</w:t>
      </w:r>
    </w:p>
    <w:p w:rsidR="004D51AE" w:rsidRDefault="0025768D" w:rsidP="004D51AE">
      <w:r>
        <w:t>Adicionalmente, los servicios personales asociados a seguridad pública y al personal médico, paramédico y afín, estarán exentos del cumplimiento de lo dispuesto en el artículo 10 de la Ley de Disciplina Financiera de las Entidades Federativas y los Municipios hasta el año 2020. En ningún caso, la excepción transitoria deberá cons</w:t>
      </w:r>
      <w:r w:rsidR="004D51AE">
        <w:t>iderar personal administrativo.</w:t>
      </w:r>
    </w:p>
    <w:p w:rsidR="004D51AE" w:rsidRDefault="0025768D" w:rsidP="004D51AE">
      <w:r>
        <w:t>Noveno Transitorio. Los Ingresos excedentes derivados de Ingresos de libre disposición a que hace referencia el artículo 14, fracción I de la Ley de Disciplina Financiera de las Entidades Federativas y los Municipios, podrán destinarse a reducir el Balance presupuestario de recursos disponibles negativo de ejercicios anteriores, a partir de la entrada en vigor de esta Ley y has</w:t>
      </w:r>
      <w:r w:rsidR="004D51AE">
        <w:t xml:space="preserve">ta el ejercicio </w:t>
      </w:r>
      <w:proofErr w:type="spellStart"/>
      <w:r w:rsidR="004D51AE">
        <w:t>fscal</w:t>
      </w:r>
      <w:proofErr w:type="spellEnd"/>
      <w:r w:rsidR="004D51AE">
        <w:t xml:space="preserve"> 2022.</w:t>
      </w:r>
    </w:p>
    <w:p w:rsidR="004D51AE" w:rsidRDefault="0025768D" w:rsidP="004D51AE">
      <w:r>
        <w:t xml:space="preserve">Décimo Transitorio. Las disposiciones relacionadas con el equilibrio presupuestario y la responsabilidad hacendaria de los Municipios a que se </w:t>
      </w:r>
      <w:proofErr w:type="spellStart"/>
      <w:r>
        <w:t>refere</w:t>
      </w:r>
      <w:proofErr w:type="spellEnd"/>
      <w:r>
        <w:t xml:space="preserve"> el Capítulo II del Título Segundo de la Ley de Disciplina Financiera de las Entidades Federativas y los Municipios, entrarán en vigor para efectos del ejercicio </w:t>
      </w:r>
      <w:proofErr w:type="spellStart"/>
      <w:r>
        <w:t>fscal</w:t>
      </w:r>
      <w:proofErr w:type="spellEnd"/>
      <w:r>
        <w:t xml:space="preserve"> 2018, con las salvedades previstas en los transitorios Décimo Primero y los que apliquen de acuer</w:t>
      </w:r>
      <w:r w:rsidR="004D51AE">
        <w:t>do al artículo 21 de dicha Ley.</w:t>
      </w:r>
    </w:p>
    <w:p w:rsidR="0025768D" w:rsidRDefault="0025768D" w:rsidP="004D51AE">
      <w:r>
        <w:t xml:space="preserve">Décimo Primero Transitorio. El porcentaje a que hace referencia el artículo 20 de la Ley de Disciplina Financiera de las Entidades Federativas y los Municipios, relativo a los adeudos del ejercicio </w:t>
      </w:r>
      <w:proofErr w:type="spellStart"/>
      <w:r>
        <w:t>fscal</w:t>
      </w:r>
      <w:proofErr w:type="spellEnd"/>
      <w:r>
        <w:t xml:space="preserve"> anterior de los Municipios, será del 5.5 por ciento para el año 2018, 4.5 por ciento para el año 2019, 3.5 por ciento para el año 2020 y, a partir del año 2021 se estará al porcentaje establecido en dicho artículo.</w:t>
      </w:r>
    </w:p>
    <w:p w:rsidR="004D51AE" w:rsidRDefault="004D51AE" w:rsidP="004D51AE">
      <w:r>
        <w:t>Ley General de Transparencia y Acceso a la Información Pública</w:t>
      </w:r>
    </w:p>
    <w:p w:rsidR="004D51AE" w:rsidRDefault="004D51AE" w:rsidP="004D51AE">
      <w:r>
        <w:t xml:space="preserve">Artículo 70. En la Ley Federal y de las Entidades Federativas se </w:t>
      </w:r>
      <w:proofErr w:type="gramStart"/>
      <w:r>
        <w:t>contemplara</w:t>
      </w:r>
      <w:proofErr w:type="gramEnd"/>
      <w:r>
        <w:t xml:space="preserve"> que los sujetos obligados pongan a disposición del público y mantengan actualizada, en los respectivos medios electrónicos, de acuerdo con sus facultades, atribuciones, funciones u objeto social, según corresponda, la información, por lo menos, de los temas documentos y políticas que a continuación se señalan:</w:t>
      </w:r>
    </w:p>
    <w:p w:rsidR="004D51AE" w:rsidRDefault="004D51AE" w:rsidP="004D51AE">
      <w:r>
        <w:t>XXI. La información financiera sobre el presupuesto asignado, así como los informes del ejercicio trimestral del gasto, en términos de la Ley General de Contabilidad Gubernamental y demás normatividad aplicable.</w:t>
      </w:r>
    </w:p>
    <w:p w:rsidR="004D51AE" w:rsidRDefault="004D51AE" w:rsidP="004D51AE">
      <w:r>
        <w:lastRenderedPageBreak/>
        <w:t>Artículo 71. Además de lo señalado en el artículo anterior de la presente Ley, los sujetos obligados de los Poderes Ejecutivos Federal, de las Entidades Federativas y municipales, deberán poner a disposición del público y actualizar la siguiente información:</w:t>
      </w:r>
    </w:p>
    <w:p w:rsidR="004D51AE" w:rsidRDefault="004D51AE" w:rsidP="004D51AE">
      <w:r>
        <w:t>I. En el caso del Poder Ejecutivo Federal, los poderes ejecutivos de las Entidades Federativas, el Órgano Ejecutivo del Distrito Federal y los Municipios:</w:t>
      </w:r>
    </w:p>
    <w:p w:rsidR="004D51AE" w:rsidRDefault="004D51AE" w:rsidP="004D51AE">
      <w:r>
        <w:t>b) El presupuesto de egresos…</w:t>
      </w:r>
    </w:p>
    <w:p w:rsidR="004D51AE" w:rsidRDefault="004D51AE" w:rsidP="004D51AE"/>
    <w:p w:rsidR="004D51AE" w:rsidRPr="00014169" w:rsidRDefault="004D51AE" w:rsidP="004D51AE">
      <w:pPr>
        <w:rPr>
          <w:b/>
        </w:rPr>
      </w:pPr>
      <w:r w:rsidRPr="00014169">
        <w:rPr>
          <w:b/>
        </w:rPr>
        <w:t>EXPOSICIÓN DE MOTIVOS</w:t>
      </w:r>
    </w:p>
    <w:p w:rsidR="004D51AE" w:rsidRDefault="004D51AE" w:rsidP="004D51AE">
      <w:r>
        <w:t>Se presenta el Proyecto de presupuesto de egresos 2019 respetando los principios de austeridad, legalidad, eficiencia, eficacia, economía, racionalidad, transparencia y rendición de cuentas; donde se tendrá la responsabilidad de ser distribuido con la garantía del balance presupuestario, implementando políticas de austeridad, ahorros y ejercicio estratégico de los recursos, potencializando los programas prioritarios de la administración. De igual manera, se implementará la eficiencia presupuestaria para mantener unas finanzas públicas estables ayudando a garantizar la confianza de los inversionistas para continuar y mejorar la calificación crediticia de Jalisco.</w:t>
      </w:r>
    </w:p>
    <w:p w:rsidR="004D51AE" w:rsidRDefault="004D51AE" w:rsidP="004D51AE">
      <w:r>
        <w:t>Considerando los efectos directos e indirectos del comportamiento social, económico y político a nivel federal, se realiza un análisis de las características globales, nacionales y locales con el objetivo de realizar un presupuesto basado en los pronósticos sobre el comportamiento general de la economía internacional, y sobre todo nacional. Y de la misma manera, considerando la e</w:t>
      </w:r>
      <w:r w:rsidR="00014169">
        <w:t>volución de la economía local, aunando</w:t>
      </w:r>
      <w:r>
        <w:t xml:space="preserve"> de la ejecución de los programas implementados en el año anterior por part</w:t>
      </w:r>
      <w:r w:rsidR="00014169">
        <w:t>e de las dependencias del Municipio</w:t>
      </w:r>
      <w:r>
        <w:t>.</w:t>
      </w:r>
    </w:p>
    <w:p w:rsidR="00014169" w:rsidRDefault="00014169" w:rsidP="00014169">
      <w:r>
        <w:t>Al conocer las expectativas sobre el comportamiento económico en general, se tendrá una planeación más eficiente del gasto, se conocerán los sectores vulnerables, las principales necesidades y los factores de riesgo en donde se debe actuar, con el conocimiento de que el gasto público es considerado un instrumento de política fiscal que el gobierno cuenta para incentivar a los sectores desfavorecidos y alcanzar la distribución adecuado de los recursos para toda la población, y para esto se deben corrección los fallos del mercado en la actividad económica, satisfacer la demanda de bienes y servicios públicos e impulsar políticas prioritarias según las necesidades de la población localizada en cada sección territorial donde se actúe e implemente el gasto gubernamental.</w:t>
      </w:r>
    </w:p>
    <w:p w:rsidR="00014169" w:rsidRDefault="00014169" w:rsidP="00014169">
      <w:r>
        <w:t xml:space="preserve">Este presupuesto de egresos se presenta respetando la sostenibilidad de las finanzas públicas estatales, sin generar alzas impositivas ni nuevos impuestos y cumple a cabalidad con el principio de austeridad financiera y el balance presupuestal establecido en la Ley de Disciplina Financiera para las Entidades Federativas y los Municipios. Para una mejor planificación del gasto gubernamental se presenta una descripción del contexto social y económico internacional, nacional y estatal, para la realización de un presupuesto de egresos congruente con las expectativas consideradas para el año 2019, con el objetivo primordial de optimizar el beneficio de los </w:t>
      </w:r>
      <w:proofErr w:type="spellStart"/>
      <w:r>
        <w:t>Zapotlanejes</w:t>
      </w:r>
      <w:proofErr w:type="spellEnd"/>
      <w:r>
        <w:t>.</w:t>
      </w:r>
    </w:p>
    <w:p w:rsidR="00014169" w:rsidRDefault="00014169" w:rsidP="00014169"/>
    <w:p w:rsidR="00014169" w:rsidRPr="00014169" w:rsidRDefault="00014169" w:rsidP="00014169">
      <w:pPr>
        <w:rPr>
          <w:b/>
        </w:rPr>
      </w:pPr>
      <w:r w:rsidRPr="00014169">
        <w:rPr>
          <w:b/>
        </w:rPr>
        <w:lastRenderedPageBreak/>
        <w:t>Justificación de los Principales Programas Presupuestarios</w:t>
      </w:r>
    </w:p>
    <w:p w:rsidR="00014169" w:rsidRDefault="00014169" w:rsidP="00014169">
      <w:r>
        <w:t xml:space="preserve">Las Justificaciones de los Programas Presupuestarios deberán entenderse como aquellas que tienen el objeto de transparentar, describir y justificar la información de las acciones para la producción de bienes y servicios destinados a la solución de problemas públicos, así como orientar los programas presupuestarios a los objetivos planteados en el Plan Municipal de Desarrollo. </w:t>
      </w:r>
    </w:p>
    <w:p w:rsidR="00014169" w:rsidRDefault="00014169" w:rsidP="00014169">
      <w:r>
        <w:t>Dentro de la categorización de los programas, tenemos que existen dos tipos de programas presupuestarios, los administrativos (de gestión) y los de valor público, siendo estos últimos más trascendentes, ya que consideran aquellas acciones públicas que buscan maximizar el impacto positivo en el bienestar de la población, caracterizándose por: satisfacer necesidades o demandas de carácter público; son consecuencia de un proceso de legitimación democrática en donde la planeación, fiscalización y rendición de cuentas cobran relevancia; y que generan resultados positivos en los destinatarios de los bienes y servicios.</w:t>
      </w:r>
    </w:p>
    <w:p w:rsidR="00014169" w:rsidRDefault="00014169" w:rsidP="00014169">
      <w:r>
        <w:t>De acuerdo con la Ley de Presupuesto, Contabilidad y Gasto Público del Estado de Jalisco artículo 39 punto VI, dentro del Proyecto de Presupuesto se debe considerar el incluir la explicación y justificación de los principales programas, por lo que se priorizaron los Programas Presupuestarios para 2019 considerando: que sean de valor público, su presupuesto asignado y el impacto que generan en la población objetivo con base en la prestación de los bienes y servicios que otorgan.</w:t>
      </w:r>
    </w:p>
    <w:p w:rsidR="00014169" w:rsidRDefault="00014169" w:rsidP="00014169">
      <w:r>
        <w:t>Por lo anterior, en cumplimiento a las normas estatales en la materia, se remite el reporte de la justificación de los principales programas presupuestarios que cumplen con las características antes mencionadas.</w:t>
      </w:r>
    </w:p>
    <w:p w:rsidR="00652CE9" w:rsidRDefault="00652CE9" w:rsidP="00014169"/>
    <w:p w:rsidR="00652CE9" w:rsidRDefault="00652CE9" w:rsidP="00014169">
      <w:r>
        <w:t>INGRESOS Y GASTOS HISTORICOS</w:t>
      </w:r>
    </w:p>
    <w:p w:rsidR="00652CE9" w:rsidRDefault="00652CE9" w:rsidP="00014169"/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2484"/>
        <w:gridCol w:w="1437"/>
        <w:gridCol w:w="1296"/>
        <w:gridCol w:w="1178"/>
        <w:gridCol w:w="1476"/>
      </w:tblGrid>
      <w:tr w:rsidR="00652CE9" w:rsidRPr="00652CE9" w:rsidTr="00652CE9">
        <w:trPr>
          <w:trHeight w:val="300"/>
        </w:trPr>
        <w:tc>
          <w:tcPr>
            <w:tcW w:w="8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MUNICIPIO DE ZAPOTLANEJO JALISCO</w:t>
            </w:r>
          </w:p>
        </w:tc>
      </w:tr>
      <w:tr w:rsidR="00652CE9" w:rsidRPr="00652CE9" w:rsidTr="00652CE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COMPARATIVO GENERAL PRESUP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UESTO VARIOS EJERCICIOS</w:t>
            </w:r>
          </w:p>
        </w:tc>
      </w:tr>
      <w:tr w:rsidR="00652CE9" w:rsidRPr="00652CE9" w:rsidTr="00652CE9">
        <w:trPr>
          <w:trHeight w:val="120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2CE9" w:rsidRPr="00652CE9" w:rsidTr="00652CE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INGRESOS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2018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IMPUESTOS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23,523,096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26,885,200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33,652,630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32,051,258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DERECHOS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31,464,569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33,029,794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51,092,205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41,737,071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PRODUCTOS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5,280,412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4,115,677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6,047,562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6,176,007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APROVECHAMIENTOS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3,012,089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3,600,000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3,954,851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5,199,082 </w:t>
            </w:r>
          </w:p>
        </w:tc>
      </w:tr>
      <w:tr w:rsidR="00652CE9" w:rsidRPr="00652CE9" w:rsidTr="00652CE9">
        <w:trPr>
          <w:trHeight w:val="46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PARTICIPACIONES Y APORTACIONES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200,289,165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166,807,310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200,240,747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202,850,097 </w:t>
            </w:r>
          </w:p>
        </w:tc>
      </w:tr>
      <w:tr w:rsidR="00652CE9" w:rsidRPr="00652CE9" w:rsidTr="00652CE9">
        <w:trPr>
          <w:trHeight w:val="6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TRANSFERENCIAS, ASIGNACIONES Y OTROS SUBSIDIOS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7,028,812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2,153,243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8,688,690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3,396,191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OTROS INGRESOS Y BENEFICIOS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5,005,892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23,145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24,534 </w:t>
            </w:r>
          </w:p>
        </w:tc>
      </w:tr>
      <w:tr w:rsidR="00652CE9" w:rsidRPr="00652CE9" w:rsidTr="00652CE9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270,598,143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241,597,116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303,699,830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291,434,240 </w:t>
            </w:r>
          </w:p>
        </w:tc>
      </w:tr>
      <w:tr w:rsidR="00652CE9" w:rsidRPr="00652CE9" w:rsidTr="00652CE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EGRESOS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PARTIDA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2018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SERVICIOS PERSONALES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78,085,933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76,047,525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89,407,945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100,732,446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MATERIALES Y SUMINISTROS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21,729,547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19,426,045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28,810,943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38,785,370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SERVICIOS GENERALES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37,798,109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34,916,137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38,882,188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38,914,364 </w:t>
            </w:r>
          </w:p>
        </w:tc>
      </w:tr>
      <w:tr w:rsidR="00652CE9" w:rsidRPr="00652CE9" w:rsidTr="00652CE9">
        <w:trPr>
          <w:trHeight w:val="6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TRANSFERENCIAS, ASIGNACIONES, SUBSIDIOS Y OTRAS AYUDAS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9,730,766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15,784,864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17,190,674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17,645,187 </w:t>
            </w:r>
          </w:p>
        </w:tc>
      </w:tr>
      <w:tr w:rsidR="00652CE9" w:rsidRPr="00652CE9" w:rsidTr="00652CE9">
        <w:trPr>
          <w:trHeight w:val="46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BIENES MUEBLES, INMUEBLES E INTANGIBLES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1,585,890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6,603,000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1,751,019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2,366,657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INVERSION PUBLICA (OBRA)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95,229,972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79,422,727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118,900,638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78,796,782 </w:t>
            </w:r>
          </w:p>
        </w:tc>
      </w:tr>
      <w:tr w:rsidR="00652CE9" w:rsidRPr="00652CE9" w:rsidTr="00652CE9">
        <w:trPr>
          <w:trHeight w:val="3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DEUDA PUBLICA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26,437,926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9,396,818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8,756,423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14,193,435 </w:t>
            </w:r>
          </w:p>
        </w:tc>
      </w:tr>
      <w:tr w:rsidR="00652CE9" w:rsidRPr="00652CE9" w:rsidTr="00652CE9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270,598,143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241,597,116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303,699,830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 291,434,240 </w:t>
            </w:r>
          </w:p>
        </w:tc>
      </w:tr>
      <w:tr w:rsidR="00652CE9" w:rsidRPr="00652CE9" w:rsidTr="00652CE9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52C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:rsidR="00652CE9" w:rsidRDefault="00652CE9" w:rsidP="00014169"/>
    <w:p w:rsidR="00652CE9" w:rsidRDefault="00652CE9" w:rsidP="00014169"/>
    <w:p w:rsidR="00652CE9" w:rsidRDefault="00652CE9" w:rsidP="00014169">
      <w:r>
        <w:t>PROYECCION DE INGRESOS Y EGRESOS</w:t>
      </w: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101"/>
        <w:gridCol w:w="1335"/>
        <w:gridCol w:w="1337"/>
        <w:gridCol w:w="1295"/>
        <w:gridCol w:w="1436"/>
      </w:tblGrid>
      <w:tr w:rsidR="00B375E3" w:rsidRPr="00B375E3" w:rsidTr="00B375E3">
        <w:trPr>
          <w:trHeight w:val="525"/>
        </w:trPr>
        <w:tc>
          <w:tcPr>
            <w:tcW w:w="88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  <w:t>PROYECCIONES Y RESULTADOS DE INGRESOS  L D F - 2019</w:t>
            </w:r>
          </w:p>
        </w:tc>
      </w:tr>
      <w:tr w:rsidR="00B375E3" w:rsidRPr="00B375E3" w:rsidTr="00B375E3">
        <w:trPr>
          <w:trHeight w:val="420"/>
        </w:trPr>
        <w:tc>
          <w:tcPr>
            <w:tcW w:w="88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Nombre del Municipio: Municipio de Zapotlanejo Jalisco</w:t>
            </w:r>
          </w:p>
        </w:tc>
      </w:tr>
      <w:tr w:rsidR="00B375E3" w:rsidRPr="00B375E3" w:rsidTr="00B375E3">
        <w:trPr>
          <w:trHeight w:val="300"/>
        </w:trPr>
        <w:tc>
          <w:tcPr>
            <w:tcW w:w="6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CONCEPTOS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ESTIMACIÓN</w:t>
            </w: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br/>
              <w:t xml:space="preserve"> 2019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EJERCICIO</w:t>
            </w: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br/>
              <w:t xml:space="preserve"> 2020</w:t>
            </w:r>
          </w:p>
        </w:tc>
      </w:tr>
      <w:tr w:rsidR="00B375E3" w:rsidRPr="00B375E3" w:rsidTr="00B375E3">
        <w:trPr>
          <w:trHeight w:val="300"/>
        </w:trPr>
        <w:tc>
          <w:tcPr>
            <w:tcW w:w="6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I N G R E S O 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1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31,412,641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32,669,146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 Sobre los Ingresos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98,800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Impuestos Sobre Patrimonio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30,517,641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31,738,346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1.4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1.6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1.7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Accesorios de los Impuestos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832,000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1.8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1.9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Impuestos no comprendidos en la Ley de Ingresos Vigente, causados en Ejercicios Fiscales Anteriores</w:t>
            </w: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br/>
              <w:t xml:space="preserve"> Pendientes de Liquidación  o Pago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2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CUOTAS Y APORTACIONES DE SEGURIDAD SOCIAL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Aportaciones para Fondos de Vivienda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Cuotas para el Seguro Social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Cuotas de Ahorro para el Retiro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Otras Cuotas y Aportaciones para la Seguridad Social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2.5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Accesorios de Cuotas y Aportaciones de Seguridad Social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3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Contribuciones de Mejoras por Obras Públicas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3.9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Contribuciones de Mejoras no comprendidas en la Ley de Ingresos Vigente, causadas en Ejercicios </w:t>
            </w: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br/>
              <w:t xml:space="preserve"> Anteriores Pendientes de Liquidación o Pago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4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DERECHOS.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48,262,060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50,192,543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proofErr w:type="spellStart"/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Dererechos</w:t>
            </w:r>
            <w:proofErr w:type="spellEnd"/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 por el Uso, Goce, Aprovechamiento o Explotación de Bienes de Dominio Público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1,116,403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1,161,059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Derecho a los Hidrocarburos (Derogado)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2060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44,815,484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46,608,104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4.4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917,454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954,152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4.5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Accesorios de Derechos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1,412,719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1,469,228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4.9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5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5,021,859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5,222,733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5,021,859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5,222,733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Productos de Capital (Derogado)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2060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5.9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6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2,460,000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2,558,400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2,460,000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2,558,400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proofErr w:type="spellStart"/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Accesosrios</w:t>
            </w:r>
            <w:proofErr w:type="spellEnd"/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 de Aprovechamientos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6.9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Aprovechamientos no Comprendidos en la Ley de Ingresos Vigente, Causados en Ejercicios Fiscales Anteriores, Pendientes de Liquidación o Pago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7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INGRESOS POR VENTA DE BIENES, PRESTACIÓN DE SERVICIOS Y OTROS INGRESOS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 por Venta de Bienes y Prestación de Servicios de Instituciones Públicas de Seguridad Social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7.4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7.5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7.6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7.7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7.8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7.9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Otros Ingresos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8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209,219,873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217,588,668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112,743,725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117,253,474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61,476,148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63,935,194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36,400,000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8.4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8.5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Fondos Distintos de Aportaciones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9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4,000,000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4,160,000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Transferencias y Asignaciones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4,160,000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Transferencias al Resto del Sector Público (Derogado)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2060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9.3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9.4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Ayudas Sociales (Derogado)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2060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9.6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Transferencias a Fideicomisos, Mandatos y Análogos (Derogado)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2060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INGRESOS DERIVADOS DE FINANCIAMIENTO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5,200,000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5,200,000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0.2</w:t>
            </w:r>
          </w:p>
        </w:tc>
        <w:tc>
          <w:tcPr>
            <w:tcW w:w="477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1295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92D050"/>
            </w:tcBorders>
            <w:shd w:val="clear" w:color="000000" w:fill="002060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5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Financiamiento Interno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D050"/>
              <w:left w:val="single" w:sz="4" w:space="0" w:color="auto"/>
              <w:bottom w:val="nil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00"/>
        </w:trPr>
        <w:tc>
          <w:tcPr>
            <w:tcW w:w="6102" w:type="dxa"/>
            <w:gridSpan w:val="4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TOTAL DE INGRESOS</w:t>
            </w:r>
          </w:p>
        </w:tc>
        <w:tc>
          <w:tcPr>
            <w:tcW w:w="1295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305,376,433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317,591,490</w:t>
            </w:r>
          </w:p>
        </w:tc>
      </w:tr>
    </w:tbl>
    <w:p w:rsidR="00B375E3" w:rsidRDefault="00B375E3" w:rsidP="00014169"/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104"/>
        <w:gridCol w:w="2299"/>
        <w:gridCol w:w="1878"/>
        <w:gridCol w:w="1802"/>
      </w:tblGrid>
      <w:tr w:rsidR="00B375E3" w:rsidRPr="00B375E3" w:rsidTr="00B375E3">
        <w:trPr>
          <w:trHeight w:val="525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  <w:p w:rsid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  <w:p w:rsid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  <w:p w:rsid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MX"/>
              </w:rPr>
              <w:t>PROYECCIONES Y RESULTADOS DE EGRESOS LDF  - 2019</w:t>
            </w:r>
          </w:p>
        </w:tc>
      </w:tr>
      <w:tr w:rsidR="00B375E3" w:rsidRPr="00B375E3" w:rsidTr="00B375E3">
        <w:trPr>
          <w:trHeight w:val="42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Nombre del Municipio: Municipio de Zapotlanejo Jalisco</w:t>
            </w:r>
          </w:p>
        </w:tc>
      </w:tr>
      <w:tr w:rsidR="00B375E3" w:rsidRPr="00B375E3" w:rsidTr="00B375E3">
        <w:trPr>
          <w:trHeight w:val="300"/>
        </w:trPr>
        <w:tc>
          <w:tcPr>
            <w:tcW w:w="5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lastRenderedPageBreak/>
              <w:t>CONCEPTOS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ESTIMACIÓN  2019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EJERCICIO 2020</w:t>
            </w:r>
          </w:p>
        </w:tc>
      </w:tr>
      <w:tr w:rsidR="00B375E3" w:rsidRPr="00B375E3" w:rsidTr="00B375E3">
        <w:trPr>
          <w:trHeight w:val="300"/>
        </w:trPr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375E3" w:rsidRPr="00B375E3" w:rsidTr="00B375E3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E G R E S O S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1000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111,911,591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116,388,055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1100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Remuneraciones al Personal de Carácter Permanente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70,421,125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73,237,970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1200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Remuneraciones al Personal de Carácter Transitorio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23,587,849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24,531,363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1300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Remuneraciones Adicionales Especiales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14,632,171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15,217,458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1400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Seguridad Social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1500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Otras Prestaciones Sociales y Económicas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3,270,446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3,401,264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1600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Previsiones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1700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Pago Estímulos a Servidores Públicos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2000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35,644,000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37,069,760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2100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1,160,000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1,206,400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2200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Alimentos y Utensilios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1,260,000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1,310,400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2300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Materias Primas y Materiales de Producción y Comercialización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2400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Materiales y Artículos de Construcción y de Reparación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6,642,000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6,907,680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2500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Productos Químicos, Farmacéuticos y de Laboratorio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5,275,000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5,486,000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2600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Combustibles, Lubricantes y Aditivos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15,500,000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16,120,000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2700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Vestuario, Blancos, Prendas de Protección y Artículos Deportivos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1,165,000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1,211,600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2800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Materiales y Suministros de Seguridad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2900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Herramientas, Refacciones y Accesorios Menores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4,642,000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4,827,680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3000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50,041,384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52,043,039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3100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Básicos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31,547,000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32,808,880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3200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Arrendamiento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556,824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579,096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3300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Profesionales, Científicos, Técnicos y Otros Servicios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2,405,000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2,501,200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3400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Financieros, Bancarios y Comerciales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1,816,000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1,888,640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3500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Instalación, Reparación, Mantenimiento y Conservación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7,575,000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7,878,000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3600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Comunicación Social y Publicidad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265,000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275,600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3700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Traslado y Viáticos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290,000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301,600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3800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Oficiales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1,310,000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1,362,400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3900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Otros Servicios Generales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4,276,560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4,447,622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4000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19,610,126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20,394,531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4100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Internas y Asignaciones al Sector Público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4200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al Resto del Sector Público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4300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Susbsidios</w:t>
            </w:r>
            <w:proofErr w:type="spellEnd"/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Subvenciones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4400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Ayudas Sociales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11,495,606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11,955,430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4500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Pensiones y Jubilaciones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7,584,520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7,887,901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4600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 Fideicomisos, Mandatos y Análogos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530,000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551,200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4700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 la Seguridad Social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4800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Donativos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4900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al Exterior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5000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7,792,000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8,103,680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5100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Mobiliario y Equipo de Administración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455,000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473,200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5200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Mobiliario y Equipo Educacional y Recreativo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282,000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293,280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5300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Equiipo</w:t>
            </w:r>
            <w:proofErr w:type="spellEnd"/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e Instrumental Médico y de Laboratorio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20,800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5400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Vehículos y Equipo de Transporte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5,700,000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5,928,000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5500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Equipo de Defensa y Seguridad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5600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Maquinaria, Otros Equipos y Herramientas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535,000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556,400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5700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Activos Biológicos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5800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Bienes Inmuebles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500,000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520,000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5900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Activos Intangibles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300,000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312,000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6000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INVERSIÓN PÚBLICA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64,000,701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66,560,729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6100 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Obra Pública en Bienes de Dominio Público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64,000,701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66,560,729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6200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Obra Pública en Bienes de Dominio Propios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6300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Proyectos Productivos y Acciones de Fomento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7000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7100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Inversiones para el Fomento de Actividades Productivas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7200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Acciones y Participaciones de Capital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7300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Compra de Títulos y Valores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7400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Conseción</w:t>
            </w:r>
            <w:proofErr w:type="spellEnd"/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de Préstamos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 xml:space="preserve">7500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Inversiones en Fideicomisos, Mandatos y Otros Análogos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7600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Otras Inversiones Financieras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7900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Provisiones para Contingencias y Otras Erogaciones Especiales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8000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8100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8300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8500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9000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DEUDA PÚBLICA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16,376,631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79D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17,031,696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9100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Amortización de la Deuda Pública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4,921,631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5,118,496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9200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Intereses de la Deuda Pública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1,455,000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1,513,200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9300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Comisiones de la Deuda Pública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9400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Gastos de la Deuda Pública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9500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Costo por Coberturas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9600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Apoyos Financieros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B375E3" w:rsidRPr="00B375E3" w:rsidTr="00B375E3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9900 </w:t>
            </w:r>
          </w:p>
        </w:tc>
        <w:tc>
          <w:tcPr>
            <w:tcW w:w="4405" w:type="dxa"/>
            <w:gridSpan w:val="2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Adeudos de Ejercicios Fiscales Anteriores (ADEFAS)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FFF2D4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10,000,000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center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10,400,000</w:t>
            </w:r>
          </w:p>
        </w:tc>
      </w:tr>
      <w:tr w:rsidR="00B375E3" w:rsidRPr="00B375E3" w:rsidTr="00B375E3">
        <w:trPr>
          <w:trHeight w:val="315"/>
        </w:trPr>
        <w:tc>
          <w:tcPr>
            <w:tcW w:w="5156" w:type="dxa"/>
            <w:gridSpan w:val="3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TOTAL DE EGRESOS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305,376,433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000000" w:fill="00A79D"/>
            <w:noWrap/>
            <w:vAlign w:val="bottom"/>
            <w:hideMark/>
          </w:tcPr>
          <w:p w:rsidR="00B375E3" w:rsidRPr="00B375E3" w:rsidRDefault="00B375E3" w:rsidP="00B37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375E3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317,591,490</w:t>
            </w:r>
          </w:p>
        </w:tc>
      </w:tr>
    </w:tbl>
    <w:p w:rsidR="00B375E3" w:rsidRDefault="00B375E3" w:rsidP="00014169"/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2"/>
        <w:gridCol w:w="1686"/>
      </w:tblGrid>
      <w:tr w:rsidR="00422A60" w:rsidRPr="00422A60" w:rsidTr="00422A60">
        <w:trPr>
          <w:trHeight w:val="375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MUNICIPIO DE ZAPOTLANEJO JALISCO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22A60" w:rsidRPr="00422A60" w:rsidTr="00422A60">
        <w:trPr>
          <w:trHeight w:val="300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PRESUPUESTO 2019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422A60" w:rsidRPr="00422A60" w:rsidTr="00422A60">
        <w:trPr>
          <w:trHeight w:val="300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single" w:sz="4" w:space="0" w:color="auto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111,911,591.00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Remuneraciones al Personal de Carácter Permanente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70,421,125.00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Remuneraciones al Personal de Carácter Transitorio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23,587,849.00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Remuneraciones Adicionales Especiales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14,632,171.00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Seguridad Social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Otras Prestaciones Sociales y Económicas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3,270,446.00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Previsiones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Pago Estímulos a Servidores Públicos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35,644,000.00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1,160,000.00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Alimentos y Utensilios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1,260,000.00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Materias Primas y Materiales de Producción y Comercialización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Materiales y Artículos de Construcción y de Reparación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6,642,000.00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Productos Químicos, Farmacéuticos y de Laboratorio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5,275,000.00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Combustibles, Lubricantes y Aditivos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15,500,000.00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Vestuario, Blancos, Prendas de Protección y Artículos Deportivos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1,165,000.00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Materiales y Suministros de Seguridad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Herramientas, Refacciones y Accesorios Menores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4,642,000.00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50,041,383.52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Básicos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31,547,000.00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Arrendamiento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556,823.52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Profesionales, Científicos, Técnicos y Otros Servicios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2,405,000.00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Financieros, Bancarios y Comerciales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1,816,000.00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Instalación, Reparación, Mantenimiento y Conservación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7,575,000.00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Comunicación Social y Publicidad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265,000.00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de Traslado y Viáticos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290,000.00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Servicios Oficiales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1,310,000.00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Otros Servicios Generales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4,276,560.00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19,610,126.00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Internas y Asignaciones al Sector Público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al Resto del Sector Público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Susbsidios</w:t>
            </w:r>
            <w:proofErr w:type="spellEnd"/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Subvenciones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Ayudas Sociales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11,495,606.00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Pensiones y Jubilaciones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7,584,520.00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 Fideicomisos, Mandatos y Análogos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530,000.00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 la Seguridad Social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Donativos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Transferencias al Exterior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7,792,000.00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Mobiliario y Equipo de Administración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455,000.00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Mobiliario y Equipo Educacional y Recreativo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282,000.00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Equiipo</w:t>
            </w:r>
            <w:proofErr w:type="spellEnd"/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e Instrumental Médico y de Laboratorio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20,000.00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Vehículos y Equipo de Transporte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5,700,000.00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Equipo de Defensa y Seguridad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Maquinaria, Otros Equipos y Herramientas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535,000.00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Activos Biológicos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Bienes Inmuebles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500,000.00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Activos Intangibles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300,000.00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INVERSIÓN PÚBLICA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64,000,701.00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Obra Pública en Bienes de Dominio Público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64,000,701.00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Obra Pública en Bienes de Dominio Propios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Proyectos Productivos y Acciones de Fomento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Inversiones para el Fomento de Actividades Productivas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Acciones y Participaciones de Capital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Compra de Títulos y Valores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Conseción</w:t>
            </w:r>
            <w:proofErr w:type="spellEnd"/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de Préstamos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Inversiones en Fideicomisos, Mandatos y Otros Análogos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Otras Inversiones Financieras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Provisiones para Contingencias y Otras Erogaciones Especiales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79D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DEUDA PÚBLICA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16,376,631.00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Amortización de la Deuda Pública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4,921,631.00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Intereses de la Deuda Pública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1,455,000.00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Comisiones de la Deuda Pública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Gastos de la Deuda Pública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Costo por Coberturas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Apoyos Financieros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-  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Adeudos de Ejercicios Fiscales Anteriores (ADEFAS)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10,000,000.00 </w:t>
            </w:r>
          </w:p>
        </w:tc>
      </w:tr>
      <w:tr w:rsidR="00422A60" w:rsidRPr="00422A60" w:rsidTr="00422A60">
        <w:trPr>
          <w:trHeight w:val="315"/>
        </w:trPr>
        <w:tc>
          <w:tcPr>
            <w:tcW w:w="7152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60" w:rsidRPr="00422A60" w:rsidRDefault="00422A60" w:rsidP="00422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22A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305,376,432.52 </w:t>
            </w:r>
          </w:p>
        </w:tc>
      </w:tr>
    </w:tbl>
    <w:p w:rsidR="00201365" w:rsidRDefault="00201365" w:rsidP="00014169">
      <w:bookmarkStart w:id="0" w:name="_GoBack"/>
      <w:bookmarkEnd w:id="0"/>
    </w:p>
    <w:sectPr w:rsidR="00201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4962"/>
    <w:multiLevelType w:val="hybridMultilevel"/>
    <w:tmpl w:val="DB6E8430"/>
    <w:lvl w:ilvl="0" w:tplc="C670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5E11"/>
    <w:multiLevelType w:val="hybridMultilevel"/>
    <w:tmpl w:val="DBD0494C"/>
    <w:lvl w:ilvl="0" w:tplc="D682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8D"/>
    <w:rsid w:val="00014169"/>
    <w:rsid w:val="00201365"/>
    <w:rsid w:val="00227EA8"/>
    <w:rsid w:val="0025768D"/>
    <w:rsid w:val="00422A60"/>
    <w:rsid w:val="004D51AE"/>
    <w:rsid w:val="00652CE9"/>
    <w:rsid w:val="00A77D11"/>
    <w:rsid w:val="00B375E3"/>
    <w:rsid w:val="00B6119D"/>
    <w:rsid w:val="00B617A0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7FF"/>
  <w15:chartTrackingRefBased/>
  <w15:docId w15:val="{DCA44870-99EF-4197-AC28-57674EC6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5399</Words>
  <Characters>29695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</dc:creator>
  <cp:keywords/>
  <dc:description/>
  <cp:lastModifiedBy>Empleado</cp:lastModifiedBy>
  <cp:revision>4</cp:revision>
  <dcterms:created xsi:type="dcterms:W3CDTF">2019-04-29T22:40:00Z</dcterms:created>
  <dcterms:modified xsi:type="dcterms:W3CDTF">2019-04-30T14:24:00Z</dcterms:modified>
</cp:coreProperties>
</file>